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77B4" w14:textId="4E7C93FE" w:rsidR="00FE1424" w:rsidRDefault="00FE1424" w:rsidP="00FE1424">
      <w:pPr>
        <w:spacing w:after="0" w:line="240" w:lineRule="auto"/>
        <w:rPr>
          <w:b/>
          <w:sz w:val="24"/>
          <w:lang w:val="hsb-DE"/>
        </w:rPr>
      </w:pPr>
      <w:r w:rsidRPr="0014139B">
        <w:rPr>
          <w:b/>
          <w:sz w:val="24"/>
          <w:lang w:val="hsb-DE"/>
        </w:rPr>
        <w:t xml:space="preserve">Wurězk ze </w:t>
      </w:r>
      <w:r w:rsidRPr="0014139B">
        <w:rPr>
          <w:rFonts w:cstheme="minorHAnsi"/>
          <w:b/>
          <w:sz w:val="24"/>
          <w:lang w:val="hsb-DE"/>
        </w:rPr>
        <w:t>»</w:t>
      </w:r>
      <w:r w:rsidRPr="0014139B">
        <w:rPr>
          <w:b/>
          <w:sz w:val="24"/>
          <w:lang w:val="hsb-DE"/>
        </w:rPr>
        <w:t xml:space="preserve">Stary </w:t>
      </w:r>
      <w:proofErr w:type="spellStart"/>
      <w:r w:rsidRPr="0014139B">
        <w:rPr>
          <w:b/>
          <w:sz w:val="24"/>
          <w:lang w:val="hsb-DE"/>
        </w:rPr>
        <w:t>Šymko</w:t>
      </w:r>
      <w:proofErr w:type="spellEnd"/>
      <w:r w:rsidRPr="0014139B">
        <w:rPr>
          <w:rFonts w:cstheme="minorHAnsi"/>
          <w:b/>
          <w:sz w:val="24"/>
          <w:lang w:val="hsb-DE"/>
        </w:rPr>
        <w:t>«</w:t>
      </w:r>
      <w:r w:rsidRPr="0014139B">
        <w:rPr>
          <w:b/>
          <w:sz w:val="24"/>
          <w:lang w:val="hsb-DE"/>
        </w:rPr>
        <w:t xml:space="preserve"> Jana Skale</w:t>
      </w:r>
    </w:p>
    <w:p w14:paraId="53DE71F6" w14:textId="77777777" w:rsidR="00FE1424" w:rsidRPr="0014139B" w:rsidRDefault="00FE1424" w:rsidP="00FE1424">
      <w:pPr>
        <w:spacing w:after="0" w:line="240" w:lineRule="auto"/>
        <w:rPr>
          <w:b/>
          <w:sz w:val="24"/>
          <w:lang w:val="hsb-DE"/>
        </w:rPr>
      </w:pPr>
    </w:p>
    <w:p w14:paraId="35F50BD5" w14:textId="2F48DDCF" w:rsidR="00FE1424" w:rsidRDefault="00FE1424" w:rsidP="002E44D0">
      <w:pPr>
        <w:pStyle w:val="Listenabsatz"/>
        <w:numPr>
          <w:ilvl w:val="0"/>
          <w:numId w:val="1"/>
        </w:numPr>
        <w:spacing w:line="259" w:lineRule="auto"/>
        <w:ind w:left="567" w:hanging="567"/>
        <w:rPr>
          <w:rFonts w:cstheme="minorHAnsi"/>
          <w:b/>
          <w:sz w:val="24"/>
          <w:lang w:val="hsb-DE"/>
        </w:rPr>
      </w:pPr>
      <w:r w:rsidRPr="0014139B">
        <w:rPr>
          <w:rFonts w:cstheme="minorHAnsi"/>
          <w:b/>
          <w:sz w:val="24"/>
          <w:lang w:val="hsb-DE"/>
        </w:rPr>
        <w:t xml:space="preserve">Předstajće, kak a z kotreje pozicije Jan Skala na spočatku nowelistiskeho powědančka »Stary </w:t>
      </w:r>
      <w:proofErr w:type="spellStart"/>
      <w:r w:rsidRPr="0014139B">
        <w:rPr>
          <w:rFonts w:cstheme="minorHAnsi"/>
          <w:b/>
          <w:sz w:val="24"/>
          <w:lang w:val="hsb-DE"/>
        </w:rPr>
        <w:t>Šymko</w:t>
      </w:r>
      <w:proofErr w:type="spellEnd"/>
      <w:r w:rsidRPr="0014139B">
        <w:rPr>
          <w:rFonts w:cstheme="minorHAnsi"/>
          <w:b/>
          <w:sz w:val="24"/>
          <w:lang w:val="hsb-DE"/>
        </w:rPr>
        <w:t>« kraj</w:t>
      </w:r>
      <w:r>
        <w:rPr>
          <w:rFonts w:cstheme="minorHAnsi"/>
          <w:b/>
          <w:sz w:val="24"/>
          <w:lang w:val="hsb-DE"/>
        </w:rPr>
        <w:t>,</w:t>
      </w:r>
      <w:r w:rsidRPr="0014139B">
        <w:rPr>
          <w:rFonts w:cstheme="minorHAnsi"/>
          <w:b/>
          <w:sz w:val="24"/>
          <w:lang w:val="hsb-DE"/>
        </w:rPr>
        <w:t xml:space="preserve"> ludźi a jich narodnosć</w:t>
      </w:r>
      <w:r w:rsidRPr="00FE1424">
        <w:rPr>
          <w:rFonts w:cstheme="minorHAnsi"/>
          <w:b/>
          <w:sz w:val="24"/>
          <w:lang w:val="hsb-DE"/>
        </w:rPr>
        <w:t xml:space="preserve"> </w:t>
      </w:r>
      <w:r w:rsidRPr="0014139B">
        <w:rPr>
          <w:rFonts w:cstheme="minorHAnsi"/>
          <w:b/>
          <w:sz w:val="24"/>
          <w:lang w:val="hsb-DE"/>
        </w:rPr>
        <w:t>wopisuje.</w:t>
      </w:r>
    </w:p>
    <w:p w14:paraId="14D3C33F" w14:textId="77777777" w:rsidR="00FE1424" w:rsidRPr="0014139B" w:rsidRDefault="00FE1424" w:rsidP="002E44D0">
      <w:pPr>
        <w:pStyle w:val="Listenabsatz"/>
        <w:numPr>
          <w:ilvl w:val="0"/>
          <w:numId w:val="1"/>
        </w:numPr>
        <w:spacing w:line="259" w:lineRule="auto"/>
        <w:ind w:left="567" w:hanging="567"/>
        <w:rPr>
          <w:rFonts w:cstheme="minorHAnsi"/>
          <w:b/>
          <w:sz w:val="24"/>
          <w:lang w:val="hsb-DE"/>
        </w:rPr>
      </w:pPr>
      <w:r>
        <w:rPr>
          <w:rFonts w:cstheme="minorHAnsi"/>
          <w:b/>
          <w:sz w:val="24"/>
          <w:lang w:val="hsb-DE"/>
        </w:rPr>
        <w:t>Wopisujće wosebitosće syntaksy.</w:t>
      </w:r>
    </w:p>
    <w:p w14:paraId="1AF60BB3" w14:textId="77777777" w:rsidR="00FE1424" w:rsidRDefault="00FE1424" w:rsidP="002E44D0">
      <w:pPr>
        <w:pStyle w:val="Listenabsatz"/>
        <w:numPr>
          <w:ilvl w:val="0"/>
          <w:numId w:val="1"/>
        </w:numPr>
        <w:spacing w:line="259" w:lineRule="auto"/>
        <w:ind w:left="567" w:hanging="567"/>
        <w:rPr>
          <w:rFonts w:cstheme="minorHAnsi"/>
          <w:b/>
          <w:sz w:val="24"/>
          <w:lang w:val="hsb-DE"/>
        </w:rPr>
      </w:pPr>
      <w:r w:rsidRPr="0014139B">
        <w:rPr>
          <w:rFonts w:cstheme="minorHAnsi"/>
          <w:b/>
          <w:sz w:val="24"/>
          <w:lang w:val="hsb-DE"/>
        </w:rPr>
        <w:t>Interpretujće předležacy tekstowy wujimk.</w:t>
      </w:r>
    </w:p>
    <w:p w14:paraId="490FB4FB" w14:textId="77777777" w:rsidR="00FE1424" w:rsidRPr="00FE1424" w:rsidRDefault="00FE1424" w:rsidP="00FE1424">
      <w:pPr>
        <w:spacing w:line="259" w:lineRule="auto"/>
        <w:ind w:left="360"/>
        <w:rPr>
          <w:rFonts w:cstheme="minorHAnsi"/>
          <w:b/>
          <w:sz w:val="24"/>
          <w:lang w:val="hsb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2E44D0" w:rsidRPr="00A64964" w14:paraId="3F300B5C" w14:textId="77777777" w:rsidTr="002E44D0">
        <w:tc>
          <w:tcPr>
            <w:tcW w:w="460" w:type="dxa"/>
          </w:tcPr>
          <w:p w14:paraId="317F032E" w14:textId="77777777" w:rsidR="002E44D0" w:rsidRPr="005F0547" w:rsidRDefault="002E44D0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</w:tc>
        <w:tc>
          <w:tcPr>
            <w:tcW w:w="8602" w:type="dxa"/>
          </w:tcPr>
          <w:p w14:paraId="70A9DA7E" w14:textId="419F155C" w:rsidR="002E44D0" w:rsidRPr="005F0547" w:rsidRDefault="002E44D0" w:rsidP="002E44D0">
            <w:pPr>
              <w:rPr>
                <w:rFonts w:cstheme="minorHAnsi"/>
                <w:b/>
                <w:sz w:val="24"/>
                <w:lang w:val="hsb-DE"/>
              </w:rPr>
            </w:pPr>
            <w:r w:rsidRPr="005F0547">
              <w:rPr>
                <w:rFonts w:cstheme="minorHAnsi"/>
                <w:b/>
                <w:sz w:val="24"/>
                <w:lang w:val="hsb-DE"/>
              </w:rPr>
              <w:t xml:space="preserve">Jan Skala: Stary </w:t>
            </w:r>
            <w:proofErr w:type="spellStart"/>
            <w:r w:rsidRPr="005F0547">
              <w:rPr>
                <w:rFonts w:cstheme="minorHAnsi"/>
                <w:b/>
                <w:sz w:val="24"/>
                <w:lang w:val="hsb-DE"/>
              </w:rPr>
              <w:t>Šymko</w:t>
            </w:r>
            <w:proofErr w:type="spellEnd"/>
            <w:r w:rsidRPr="005F0547">
              <w:rPr>
                <w:rFonts w:cstheme="minorHAnsi"/>
                <w:b/>
                <w:sz w:val="24"/>
                <w:lang w:val="hsb-DE"/>
              </w:rPr>
              <w:t xml:space="preserve"> (1924), wurězk</w:t>
            </w:r>
          </w:p>
        </w:tc>
      </w:tr>
      <w:tr w:rsidR="00FE1424" w:rsidRPr="00A64964" w14:paraId="254207E5" w14:textId="77777777" w:rsidTr="002E44D0">
        <w:tc>
          <w:tcPr>
            <w:tcW w:w="460" w:type="dxa"/>
          </w:tcPr>
          <w:p w14:paraId="6C2B9443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5EE3BE0E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61FF18B1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126336F0" w14:textId="77777777" w:rsidR="00FE1424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305D1634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  <w:r w:rsidRPr="005F0547">
              <w:rPr>
                <w:rFonts w:cstheme="minorHAnsi"/>
                <w:sz w:val="24"/>
                <w:lang w:val="hsb-DE"/>
              </w:rPr>
              <w:t>5</w:t>
            </w:r>
          </w:p>
          <w:p w14:paraId="7E2997A4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1CAB5BC0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74EBA140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0E95FF8D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2B797BE5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  <w:r w:rsidRPr="005F0547">
              <w:rPr>
                <w:rFonts w:cstheme="minorHAnsi"/>
                <w:sz w:val="24"/>
                <w:lang w:val="hsb-DE"/>
              </w:rPr>
              <w:t>10</w:t>
            </w:r>
          </w:p>
          <w:p w14:paraId="6E92D874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1286D94C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5A4AF586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08BA095F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6406465E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  <w:r w:rsidRPr="005F0547">
              <w:rPr>
                <w:rFonts w:cstheme="minorHAnsi"/>
                <w:sz w:val="24"/>
                <w:lang w:val="hsb-DE"/>
              </w:rPr>
              <w:t>15</w:t>
            </w:r>
          </w:p>
          <w:p w14:paraId="5FC68194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5D65E727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29619B96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209A89DC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63A77185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  <w:r w:rsidRPr="005F0547">
              <w:rPr>
                <w:rFonts w:cstheme="minorHAnsi"/>
                <w:sz w:val="24"/>
                <w:lang w:val="hsb-DE"/>
              </w:rPr>
              <w:t>20</w:t>
            </w:r>
          </w:p>
          <w:p w14:paraId="29BAE8CA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02814F53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35CCD0A3" w14:textId="77777777" w:rsidR="00FE1424" w:rsidRPr="005F0547" w:rsidRDefault="00FE1424" w:rsidP="00967280">
            <w:pPr>
              <w:jc w:val="center"/>
              <w:rPr>
                <w:rFonts w:cstheme="minorHAnsi"/>
                <w:sz w:val="24"/>
                <w:lang w:val="hsb-DE"/>
              </w:rPr>
            </w:pPr>
          </w:p>
          <w:p w14:paraId="0D6CBA83" w14:textId="77777777" w:rsidR="00FE1424" w:rsidRPr="005F0547" w:rsidRDefault="00FE1424" w:rsidP="00967280">
            <w:pPr>
              <w:rPr>
                <w:rFonts w:cstheme="minorHAnsi"/>
                <w:sz w:val="24"/>
                <w:lang w:val="hsb-DE"/>
              </w:rPr>
            </w:pPr>
          </w:p>
        </w:tc>
        <w:tc>
          <w:tcPr>
            <w:tcW w:w="8602" w:type="dxa"/>
          </w:tcPr>
          <w:p w14:paraId="59279CD2" w14:textId="77777777" w:rsidR="00FE1424" w:rsidRPr="005F0547" w:rsidRDefault="00FE1424" w:rsidP="00967280">
            <w:pPr>
              <w:rPr>
                <w:rFonts w:cstheme="minorHAnsi"/>
                <w:sz w:val="24"/>
                <w:lang w:val="hsb-DE"/>
              </w:rPr>
            </w:pPr>
            <w:r w:rsidRPr="005F0547">
              <w:rPr>
                <w:rFonts w:cstheme="minorHAnsi"/>
                <w:sz w:val="24"/>
                <w:lang w:val="hsb-DE"/>
              </w:rPr>
              <w:t xml:space="preserve">K wječoru wot Wojerec </w:t>
            </w:r>
            <w:proofErr w:type="spellStart"/>
            <w:r w:rsidRPr="005F0547">
              <w:rPr>
                <w:rFonts w:cstheme="minorHAnsi"/>
                <w:sz w:val="24"/>
                <w:lang w:val="hsb-DE"/>
              </w:rPr>
              <w:t>šěrokosća</w:t>
            </w:r>
            <w:proofErr w:type="spellEnd"/>
            <w:r w:rsidRPr="005F0547">
              <w:rPr>
                <w:rFonts w:cstheme="minorHAnsi"/>
                <w:sz w:val="24"/>
                <w:lang w:val="hsb-DE"/>
              </w:rPr>
              <w:t xml:space="preserve"> so chójnowe lěsy, po zdaću njeskónčne. Wjeski su tam rozbrojene, druhdy mjeńše, kaž Brětnja abo Narć, druhdy rjane </w:t>
            </w:r>
            <w:proofErr w:type="spellStart"/>
            <w:r w:rsidRPr="005F0547">
              <w:rPr>
                <w:rFonts w:cstheme="minorHAnsi"/>
                <w:sz w:val="24"/>
                <w:lang w:val="hsb-DE"/>
              </w:rPr>
              <w:t>wobsahowje</w:t>
            </w:r>
            <w:proofErr w:type="spellEnd"/>
            <w:r w:rsidRPr="005F0547">
              <w:rPr>
                <w:rFonts w:cstheme="minorHAnsi"/>
                <w:sz w:val="24"/>
                <w:lang w:val="hsb-DE"/>
              </w:rPr>
              <w:t>, kaž Čorny Chołmc abo Ptačecy. Stary serbski kraj, holanska zemja, pěskojta a chuduška.</w:t>
            </w:r>
          </w:p>
          <w:p w14:paraId="5FB7FE0D" w14:textId="4559D496" w:rsidR="00FE1424" w:rsidRPr="005F0547" w:rsidRDefault="00FE1424" w:rsidP="00967280">
            <w:pPr>
              <w:rPr>
                <w:rFonts w:cstheme="minorHAnsi"/>
                <w:sz w:val="24"/>
                <w:lang w:val="hsb-DE"/>
              </w:rPr>
            </w:pPr>
            <w:r>
              <w:rPr>
                <w:rFonts w:cstheme="minorHAnsi"/>
                <w:sz w:val="24"/>
                <w:lang w:val="hsb-DE"/>
              </w:rPr>
              <w:t xml:space="preserve">   </w:t>
            </w:r>
            <w:r w:rsidRPr="005F0547">
              <w:rPr>
                <w:rFonts w:cstheme="minorHAnsi"/>
                <w:sz w:val="24"/>
                <w:lang w:val="hsb-DE"/>
              </w:rPr>
              <w:t xml:space="preserve">Holanscy Serbja maja wobličo swojeje ródneje zemje, zornojte, šěre wobliča, a wóčko tak womjelknjene kaž chójnowe lěsy bjez mocha a z hablemi a wotpadanymi jehličkami posyte. Erty su zawrjene, hubje kruće jedna na druhu spinanej, cyły raz kaž wukowany, wudypany z tuteje zemje. Strowy lud to, ćichi, dźěławy, přirodneje pobožnosće, duše połny a tak mało na wobchad z druhim swětom zwučeny, zo prěni nawal cuzych zanjese hnydom wosudne tragiske wokomiki do žiwjenja tutych </w:t>
            </w:r>
            <w:proofErr w:type="spellStart"/>
            <w:r w:rsidRPr="005F0547">
              <w:rPr>
                <w:rFonts w:cstheme="minorHAnsi"/>
                <w:sz w:val="24"/>
                <w:lang w:val="hsb-DE"/>
              </w:rPr>
              <w:t>nježadostliwych</w:t>
            </w:r>
            <w:proofErr w:type="spellEnd"/>
            <w:r w:rsidRPr="005F0547">
              <w:rPr>
                <w:rFonts w:cstheme="minorHAnsi"/>
                <w:sz w:val="24"/>
                <w:lang w:val="hsb-DE"/>
              </w:rPr>
              <w:t xml:space="preserve"> a tola sebjewědomych ludźi.</w:t>
            </w:r>
          </w:p>
          <w:p w14:paraId="0B810E77" w14:textId="77777777" w:rsidR="00FE1424" w:rsidRDefault="00FE1424" w:rsidP="00967280">
            <w:pPr>
              <w:rPr>
                <w:rFonts w:cstheme="minorHAnsi"/>
                <w:sz w:val="24"/>
                <w:lang w:val="hsb-DE"/>
              </w:rPr>
            </w:pPr>
            <w:r w:rsidRPr="005F0547">
              <w:rPr>
                <w:rFonts w:cstheme="minorHAnsi"/>
                <w:sz w:val="24"/>
                <w:lang w:val="hsb-DE"/>
              </w:rPr>
              <w:t xml:space="preserve">   Jich narodnosć, jich serbstwo je něšto přirodźene kaž dychanje a srěbanje holanskeje tajnosće, něšto čisće potajne, wo čimž nimaju žane předstajenje hač to, zo to ženje hinak było njeje, hinak njebudźe. Serbstwo tutych holanow je zakryty kužoł, z kotrehož so w nowych swójbach lětstotki znowa rodźeše, do holanskich kěrchowow so chowaše a scyła wosta njepřeměnjene, kaž je było wot prastarych časow sem. Lud njeznaje swoje stawizny, znaje lědma swoju žiwu tradiciju w podwědomju, a jenož serbska rěč a serbska drasta stej swědkaj, kotrejž kóždemu rěčitej wo serbskim narodźe. Lud, nic wysokeje, ale hłubokeje inteligency, njewučerpaneje kaž pokłady pod skoru ródneje zemje, a praktiskeho rozuma w naležnosćach swojeho burskeho stawa, přistupny nowym wliwam a tola zawrjeny nowym idejam, lud mało hibićiwy ćělnje a duchownje, ale žiwje pohibliwy we swojim dušinym žiwjenju, tworjacy a stworićelski a wuměłsce wobchadźacy ze swojimi duchownymi pokładami: Njeje rjeńšeje serbskeje rěče, jadriwišeho serbskeho spěwa a kěrluša, wuskočnišeje serbskeje reje a na barbach a formach bohatšeje serbskeje drasty hač w serbskej holi.</w:t>
            </w:r>
          </w:p>
          <w:p w14:paraId="3D5EAB58" w14:textId="77777777" w:rsidR="002E44D0" w:rsidRDefault="002E44D0" w:rsidP="00967280">
            <w:pPr>
              <w:rPr>
                <w:rFonts w:cstheme="minorHAnsi"/>
                <w:sz w:val="24"/>
                <w:lang w:val="hsb-DE"/>
              </w:rPr>
            </w:pPr>
          </w:p>
          <w:p w14:paraId="76D87DE8" w14:textId="77777777" w:rsidR="002E44D0" w:rsidRDefault="002E44D0" w:rsidP="00967280">
            <w:pPr>
              <w:rPr>
                <w:rFonts w:cstheme="minorHAnsi"/>
                <w:sz w:val="24"/>
                <w:lang w:val="hsb-DE"/>
              </w:rPr>
            </w:pPr>
          </w:p>
          <w:p w14:paraId="78874ECB" w14:textId="77777777" w:rsidR="002E44D0" w:rsidRDefault="002E44D0" w:rsidP="00967280">
            <w:pPr>
              <w:rPr>
                <w:rFonts w:cstheme="minorHAnsi"/>
                <w:sz w:val="24"/>
                <w:lang w:val="hsb-DE"/>
              </w:rPr>
            </w:pPr>
          </w:p>
          <w:p w14:paraId="309A29CA" w14:textId="77DE43D7" w:rsidR="002E44D0" w:rsidRPr="005F0547" w:rsidRDefault="002E44D0" w:rsidP="002E44D0">
            <w:pPr>
              <w:spacing w:line="240" w:lineRule="auto"/>
              <w:rPr>
                <w:rFonts w:cstheme="minorHAnsi"/>
                <w:sz w:val="24"/>
                <w:lang w:val="hsb-DE"/>
              </w:rPr>
            </w:pPr>
            <w:r w:rsidRPr="005F0547">
              <w:rPr>
                <w:rFonts w:cstheme="minorHAnsi"/>
                <w:lang w:val="hsb-DE"/>
              </w:rPr>
              <w:t>Z</w:t>
            </w:r>
            <w:r>
              <w:rPr>
                <w:rFonts w:cstheme="minorHAnsi"/>
                <w:lang w:val="hsb-DE"/>
              </w:rPr>
              <w:t>e</w:t>
            </w:r>
            <w:r w:rsidRPr="005F0547">
              <w:rPr>
                <w:rFonts w:cstheme="minorHAnsi"/>
                <w:lang w:val="hsb-DE"/>
              </w:rPr>
              <w:t>: Skala</w:t>
            </w:r>
            <w:r>
              <w:rPr>
                <w:rFonts w:cstheme="minorHAnsi"/>
                <w:lang w:val="hsb-DE"/>
              </w:rPr>
              <w:t>,</w:t>
            </w:r>
            <w:r w:rsidRPr="005F0547">
              <w:rPr>
                <w:rFonts w:cstheme="minorHAnsi"/>
                <w:lang w:val="hsb-DE"/>
              </w:rPr>
              <w:t xml:space="preserve"> Jan: Stary </w:t>
            </w:r>
            <w:proofErr w:type="spellStart"/>
            <w:r w:rsidRPr="005F0547">
              <w:rPr>
                <w:rFonts w:cstheme="minorHAnsi"/>
                <w:lang w:val="hsb-DE"/>
              </w:rPr>
              <w:t>Šymko</w:t>
            </w:r>
            <w:proofErr w:type="spellEnd"/>
            <w:r w:rsidRPr="005F0547">
              <w:rPr>
                <w:rFonts w:cstheme="minorHAnsi"/>
                <w:lang w:val="hsb-DE"/>
              </w:rPr>
              <w:t>. Wuběrk prozy. Budyšin</w:t>
            </w:r>
            <w:r>
              <w:rPr>
                <w:rFonts w:cstheme="minorHAnsi"/>
                <w:lang w:val="hsb-DE"/>
              </w:rPr>
              <w:t xml:space="preserve"> </w:t>
            </w:r>
            <w:r w:rsidRPr="005F0547">
              <w:rPr>
                <w:rFonts w:cstheme="minorHAnsi"/>
                <w:lang w:val="hsb-DE"/>
              </w:rPr>
              <w:t>1989, str. 23-25.</w:t>
            </w:r>
            <w:bookmarkStart w:id="0" w:name="_GoBack"/>
            <w:bookmarkEnd w:id="0"/>
          </w:p>
        </w:tc>
      </w:tr>
    </w:tbl>
    <w:p w14:paraId="7135AA0A" w14:textId="77777777" w:rsidR="00FE1424" w:rsidRPr="005F0547" w:rsidRDefault="00FE1424" w:rsidP="00FE1424">
      <w:pPr>
        <w:spacing w:after="0" w:line="240" w:lineRule="auto"/>
        <w:rPr>
          <w:rFonts w:cstheme="minorHAnsi"/>
          <w:lang w:val="hsb-DE"/>
        </w:rPr>
      </w:pPr>
    </w:p>
    <w:p w14:paraId="6C5A32CC" w14:textId="77777777" w:rsidR="00FE1424" w:rsidRPr="005F0547" w:rsidRDefault="00FE1424" w:rsidP="00FE1424">
      <w:pPr>
        <w:spacing w:after="0" w:line="240" w:lineRule="auto"/>
        <w:rPr>
          <w:rFonts w:cstheme="minorHAnsi"/>
          <w:sz w:val="24"/>
          <w:lang w:val="hsb-DE"/>
        </w:rPr>
      </w:pPr>
    </w:p>
    <w:p w14:paraId="640CD877" w14:textId="77777777" w:rsidR="006114D8" w:rsidRDefault="006114D8"/>
    <w:sectPr w:rsidR="006114D8" w:rsidSect="00435E4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C7F6" w14:textId="77777777" w:rsidR="00F05936" w:rsidRDefault="00F05936" w:rsidP="00F05936">
      <w:pPr>
        <w:spacing w:after="0" w:line="240" w:lineRule="auto"/>
      </w:pPr>
      <w:r>
        <w:separator/>
      </w:r>
    </w:p>
  </w:endnote>
  <w:endnote w:type="continuationSeparator" w:id="0">
    <w:p w14:paraId="3FD60E28" w14:textId="77777777" w:rsidR="00F05936" w:rsidRDefault="00F05936" w:rsidP="00F0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3903" w14:textId="77777777" w:rsidR="00F05936" w:rsidRDefault="00F05936" w:rsidP="00F05936">
      <w:pPr>
        <w:spacing w:after="0" w:line="240" w:lineRule="auto"/>
      </w:pPr>
      <w:r>
        <w:separator/>
      </w:r>
    </w:p>
  </w:footnote>
  <w:footnote w:type="continuationSeparator" w:id="0">
    <w:p w14:paraId="74FB7EC5" w14:textId="77777777" w:rsidR="00F05936" w:rsidRDefault="00F05936" w:rsidP="00F0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37466251"/>
      <w:docPartObj>
        <w:docPartGallery w:val="Page Numbers (Top of Page)"/>
        <w:docPartUnique/>
      </w:docPartObj>
    </w:sdtPr>
    <w:sdtEndPr/>
    <w:sdtContent>
      <w:p w14:paraId="3571E935" w14:textId="333FE02A" w:rsidR="00F05936" w:rsidRPr="00F05936" w:rsidRDefault="00F05936">
        <w:pPr>
          <w:pStyle w:val="Kopfzeile"/>
          <w:rPr>
            <w:sz w:val="18"/>
            <w:szCs w:val="18"/>
          </w:rPr>
        </w:pPr>
        <w:r>
          <w:rPr>
            <w:sz w:val="18"/>
            <w:szCs w:val="18"/>
          </w:rPr>
          <w:t xml:space="preserve">Wobrazy serbšćiny 11/12      </w:t>
        </w:r>
        <w:r>
          <w:rPr>
            <w:sz w:val="18"/>
            <w:szCs w:val="18"/>
          </w:rPr>
          <w:tab/>
          <w:t xml:space="preserve">LITERATURA       2. </w:t>
        </w:r>
        <w:proofErr w:type="spellStart"/>
        <w:r>
          <w:rPr>
            <w:sz w:val="18"/>
            <w:szCs w:val="18"/>
          </w:rPr>
          <w:t>Literarne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žanry</w:t>
        </w:r>
        <w:proofErr w:type="spellEnd"/>
        <w:r>
          <w:rPr>
            <w:sz w:val="18"/>
            <w:szCs w:val="18"/>
          </w:rPr>
          <w:t xml:space="preserve">      </w:t>
        </w:r>
        <w:proofErr w:type="gramStart"/>
        <w:r>
          <w:rPr>
            <w:sz w:val="18"/>
            <w:szCs w:val="18"/>
          </w:rPr>
          <w:t>2.10  NOWELA</w:t>
        </w:r>
        <w:proofErr w:type="gramEnd"/>
        <w:r>
          <w:rPr>
            <w:sz w:val="18"/>
            <w:szCs w:val="18"/>
          </w:rPr>
          <w:t xml:space="preserve">       </w:t>
        </w:r>
        <w:proofErr w:type="spellStart"/>
        <w:r>
          <w:rPr>
            <w:sz w:val="18"/>
            <w:szCs w:val="18"/>
          </w:rPr>
          <w:t>přidatny</w:t>
        </w:r>
        <w:proofErr w:type="spellEnd"/>
        <w:r>
          <w:rPr>
            <w:sz w:val="18"/>
            <w:szCs w:val="18"/>
          </w:rPr>
          <w:t xml:space="preserve"> material</w:t>
        </w:r>
        <w:r>
          <w:rPr>
            <w:sz w:val="18"/>
            <w:szCs w:val="18"/>
          </w:rPr>
          <w:tab/>
        </w:r>
        <w:r>
          <w:rPr>
            <w:sz w:val="18"/>
            <w:szCs w:val="18"/>
            <w:lang w:val="pl-PL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  <w:lang w:val="pl-PL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  <w:lang w:val="pl-PL"/>
          </w:rPr>
          <w:t xml:space="preserve"> wot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  <w:lang w:val="pl-PL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4</w:t>
        </w:r>
        <w:r>
          <w:rPr>
            <w:b/>
            <w:bCs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7A9F"/>
    <w:multiLevelType w:val="hybridMultilevel"/>
    <w:tmpl w:val="C4768E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6"/>
    <w:rsid w:val="002E44D0"/>
    <w:rsid w:val="00435E43"/>
    <w:rsid w:val="006114D8"/>
    <w:rsid w:val="00F05936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14D"/>
  <w15:chartTrackingRefBased/>
  <w15:docId w15:val="{4ECAE3FC-0756-457A-9E20-B0745C54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sb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1424"/>
    <w:pPr>
      <w:spacing w:line="252" w:lineRule="auto"/>
    </w:pPr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936"/>
  </w:style>
  <w:style w:type="paragraph" w:styleId="Fuzeile">
    <w:name w:val="footer"/>
    <w:basedOn w:val="Standard"/>
    <w:link w:val="FuzeileZchn"/>
    <w:uiPriority w:val="99"/>
    <w:unhideWhenUsed/>
    <w:rsid w:val="00F0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936"/>
  </w:style>
  <w:style w:type="table" w:styleId="Tabellenraster">
    <w:name w:val="Table Grid"/>
    <w:basedOn w:val="NormaleTabelle"/>
    <w:uiPriority w:val="39"/>
    <w:rsid w:val="00FE1424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Heelemanowa</dc:creator>
  <cp:keywords/>
  <dc:description/>
  <cp:lastModifiedBy>Birgit Wićazowa</cp:lastModifiedBy>
  <cp:revision>2</cp:revision>
  <dcterms:created xsi:type="dcterms:W3CDTF">2023-10-13T09:00:00Z</dcterms:created>
  <dcterms:modified xsi:type="dcterms:W3CDTF">2023-10-19T08:32:00Z</dcterms:modified>
</cp:coreProperties>
</file>